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A4" w:rsidRDefault="00C319A4" w:rsidP="00684CD6">
      <w:pPr>
        <w:autoSpaceDE w:val="0"/>
        <w:autoSpaceDN w:val="0"/>
        <w:adjustRightInd w:val="0"/>
        <w:spacing w:after="0" w:line="240" w:lineRule="auto"/>
        <w:ind w:left="-426"/>
        <w:rPr>
          <w:rFonts w:cs="Calibri,Bold"/>
          <w:b/>
          <w:bCs/>
          <w:sz w:val="32"/>
          <w:szCs w:val="32"/>
        </w:rPr>
      </w:pPr>
    </w:p>
    <w:p w:rsidR="0098575D" w:rsidRPr="007B3866" w:rsidRDefault="00D07092" w:rsidP="008C02E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cs="Calibri,Bold"/>
          <w:b/>
          <w:bCs/>
          <w:sz w:val="32"/>
          <w:szCs w:val="32"/>
        </w:rPr>
        <w:t>2017</w:t>
      </w:r>
      <w:r w:rsidR="00D80EE2" w:rsidRPr="007B3866">
        <w:rPr>
          <w:rFonts w:cs="Calibri,Bold"/>
          <w:b/>
          <w:bCs/>
          <w:sz w:val="32"/>
          <w:szCs w:val="32"/>
        </w:rPr>
        <w:t xml:space="preserve"> KS1</w:t>
      </w:r>
      <w:r w:rsidR="0098575D" w:rsidRPr="007B3866">
        <w:rPr>
          <w:rFonts w:cs="Calibri,Bold"/>
          <w:b/>
          <w:bCs/>
          <w:sz w:val="32"/>
          <w:szCs w:val="32"/>
        </w:rPr>
        <w:t xml:space="preserve"> SATs Results: Headline figures</w:t>
      </w:r>
      <w:r w:rsidR="001C5288" w:rsidRPr="007B3866">
        <w:rPr>
          <w:rFonts w:cs="Calibri,Bold"/>
          <w:b/>
          <w:bCs/>
          <w:sz w:val="32"/>
          <w:szCs w:val="32"/>
        </w:rPr>
        <w:t xml:space="preserve"> </w:t>
      </w:r>
      <w:r w:rsidR="00C319A4" w:rsidRPr="007B3866">
        <w:rPr>
          <w:rFonts w:cs="Calibri,Bold"/>
          <w:b/>
          <w:bCs/>
          <w:sz w:val="32"/>
          <w:szCs w:val="32"/>
        </w:rPr>
        <w:t>–</w:t>
      </w:r>
      <w:r>
        <w:rPr>
          <w:rFonts w:ascii="Calibri" w:hAnsi="Calibri" w:cs="Calibri"/>
          <w:b/>
          <w:sz w:val="32"/>
          <w:szCs w:val="32"/>
        </w:rPr>
        <w:t>St Martin’s CE Primary School</w:t>
      </w:r>
    </w:p>
    <w:p w:rsidR="007B3866" w:rsidRPr="007B3866" w:rsidRDefault="007B3866" w:rsidP="00684CD6">
      <w:pPr>
        <w:autoSpaceDE w:val="0"/>
        <w:autoSpaceDN w:val="0"/>
        <w:adjustRightInd w:val="0"/>
        <w:spacing w:after="0" w:line="240" w:lineRule="auto"/>
        <w:ind w:left="-426"/>
        <w:rPr>
          <w:rFonts w:cs="Calibri"/>
          <w:b/>
          <w:sz w:val="36"/>
          <w:szCs w:val="36"/>
        </w:rPr>
      </w:pPr>
    </w:p>
    <w:p w:rsidR="007B3866" w:rsidRPr="007B3866" w:rsidRDefault="007B3866" w:rsidP="007B3866">
      <w:pPr>
        <w:pStyle w:val="NormalWeb"/>
        <w:rPr>
          <w:rFonts w:asciiTheme="minorHAnsi" w:hAnsiTheme="minorHAnsi" w:cs="Lucida Sans Unicode"/>
          <w:lang w:val="en"/>
        </w:rPr>
      </w:pPr>
    </w:p>
    <w:p w:rsidR="007B3866" w:rsidRDefault="007B3866" w:rsidP="007B3866">
      <w:pPr>
        <w:pStyle w:val="NormalWeb"/>
        <w:rPr>
          <w:rFonts w:asciiTheme="minorHAnsi" w:hAnsiTheme="minorHAnsi" w:cs="Lucida Sans Unicode"/>
          <w:lang w:val="en"/>
        </w:rPr>
      </w:pPr>
      <w:r w:rsidRPr="007B3866">
        <w:rPr>
          <w:rFonts w:asciiTheme="minorHAnsi" w:hAnsiTheme="minorHAnsi" w:cs="Lucida Sans Unicode"/>
          <w:lang w:val="en"/>
        </w:rPr>
        <w:t xml:space="preserve">At the end of KS1 (Yr2), teachers are required to assess each child in the areas of reading, writing, </w:t>
      </w:r>
      <w:proofErr w:type="spellStart"/>
      <w:r w:rsidRPr="007B3866">
        <w:rPr>
          <w:rFonts w:asciiTheme="minorHAnsi" w:hAnsiTheme="minorHAnsi" w:cs="Lucida Sans Unicode"/>
          <w:lang w:val="en"/>
        </w:rPr>
        <w:t>maths</w:t>
      </w:r>
      <w:proofErr w:type="spellEnd"/>
      <w:r w:rsidRPr="007B3866">
        <w:rPr>
          <w:rFonts w:asciiTheme="minorHAnsi" w:hAnsiTheme="minorHAnsi" w:cs="Lucida Sans Unicode"/>
          <w:lang w:val="en"/>
        </w:rPr>
        <w:t xml:space="preserve"> and science.  National Curriculum assessment tests are used to support teachers’ judgements. </w:t>
      </w:r>
    </w:p>
    <w:p w:rsidR="00D07092" w:rsidRDefault="00D07092" w:rsidP="007B3866">
      <w:pPr>
        <w:pStyle w:val="NormalWeb"/>
        <w:rPr>
          <w:rFonts w:asciiTheme="minorHAnsi" w:hAnsiTheme="minorHAnsi" w:cs="Lucida Sans Unicode"/>
          <w:lang w:val="en"/>
        </w:rPr>
      </w:pPr>
    </w:p>
    <w:p w:rsidR="00D07092" w:rsidRPr="007B3866" w:rsidRDefault="00D07092" w:rsidP="007B3866">
      <w:pPr>
        <w:pStyle w:val="NormalWeb"/>
        <w:rPr>
          <w:rFonts w:asciiTheme="minorHAnsi" w:hAnsiTheme="minorHAnsi" w:cs="Lucida Sans Unicode"/>
          <w:lang w:val="en"/>
        </w:rPr>
      </w:pPr>
      <w:r>
        <w:rPr>
          <w:rFonts w:asciiTheme="minorHAnsi" w:hAnsiTheme="minorHAnsi" w:cs="Lucida Sans Unicode"/>
          <w:lang w:val="en"/>
        </w:rPr>
        <w:t>This year the school’s judgements were moderated by Hampshire and the Local Authority agreed with our teacher assessed judgements.</w:t>
      </w:r>
    </w:p>
    <w:p w:rsidR="007B3866" w:rsidRPr="007B3866" w:rsidRDefault="007B3866" w:rsidP="007B3866">
      <w:pPr>
        <w:pStyle w:val="NormalWeb"/>
        <w:rPr>
          <w:rFonts w:asciiTheme="minorHAnsi" w:hAnsiTheme="minorHAnsi" w:cs="Lucida Sans Unicode"/>
          <w:lang w:val="en"/>
        </w:rPr>
      </w:pPr>
      <w:r w:rsidRPr="007B3866">
        <w:rPr>
          <w:rFonts w:asciiTheme="minorHAnsi" w:hAnsiTheme="minorHAnsi" w:cs="Lucida Sans Unicode"/>
          <w:lang w:val="en"/>
        </w:rPr>
        <w:t> </w:t>
      </w:r>
    </w:p>
    <w:p w:rsidR="007B3866" w:rsidRPr="007B3866" w:rsidRDefault="00D07092" w:rsidP="007B3866">
      <w:pPr>
        <w:pStyle w:val="NormalWeb"/>
        <w:rPr>
          <w:rFonts w:asciiTheme="minorHAnsi" w:hAnsiTheme="minorHAnsi" w:cs="Lucida Sans Unicode"/>
          <w:lang w:val="en"/>
        </w:rPr>
      </w:pPr>
      <w:r>
        <w:rPr>
          <w:rFonts w:asciiTheme="minorHAnsi" w:hAnsiTheme="minorHAnsi" w:cs="Lucida Sans Unicode"/>
          <w:lang w:val="en"/>
        </w:rPr>
        <w:t xml:space="preserve">St Martin’s Primary </w:t>
      </w:r>
      <w:proofErr w:type="gramStart"/>
      <w:r>
        <w:rPr>
          <w:rFonts w:asciiTheme="minorHAnsi" w:hAnsiTheme="minorHAnsi" w:cs="Lucida Sans Unicode"/>
          <w:lang w:val="en"/>
        </w:rPr>
        <w:t xml:space="preserve">School </w:t>
      </w:r>
      <w:r w:rsidR="001D6D6A">
        <w:rPr>
          <w:rFonts w:asciiTheme="minorHAnsi" w:hAnsiTheme="minorHAnsi" w:cs="Lucida Sans Unicode"/>
          <w:lang w:val="en"/>
        </w:rPr>
        <w:t xml:space="preserve"> p</w:t>
      </w:r>
      <w:r w:rsidR="007B3866" w:rsidRPr="007B3866">
        <w:rPr>
          <w:rFonts w:asciiTheme="minorHAnsi" w:hAnsiTheme="minorHAnsi" w:cs="Lucida Sans Unicode"/>
          <w:lang w:val="en"/>
        </w:rPr>
        <w:t>upils</w:t>
      </w:r>
      <w:r w:rsidR="001D6D6A">
        <w:rPr>
          <w:rFonts w:asciiTheme="minorHAnsi" w:hAnsiTheme="minorHAnsi" w:cs="Lucida Sans Unicode"/>
          <w:lang w:val="en"/>
        </w:rPr>
        <w:t>’</w:t>
      </w:r>
      <w:proofErr w:type="gramEnd"/>
      <w:r w:rsidR="007B3866" w:rsidRPr="007B3866">
        <w:rPr>
          <w:rFonts w:asciiTheme="minorHAnsi" w:hAnsiTheme="minorHAnsi" w:cs="Lucida Sans Unicode"/>
          <w:lang w:val="en"/>
        </w:rPr>
        <w:t xml:space="preserve"> performance was </w:t>
      </w:r>
      <w:r>
        <w:rPr>
          <w:rFonts w:asciiTheme="minorHAnsi" w:hAnsiTheme="minorHAnsi" w:cs="Lucida Sans Unicode"/>
          <w:lang w:val="en"/>
        </w:rPr>
        <w:t xml:space="preserve">in line with </w:t>
      </w:r>
      <w:r w:rsidR="007B3866" w:rsidRPr="007B3866">
        <w:rPr>
          <w:rFonts w:asciiTheme="minorHAnsi" w:hAnsiTheme="minorHAnsi" w:cs="Lucida Sans Unicode"/>
          <w:lang w:val="en"/>
        </w:rPr>
        <w:t xml:space="preserve">national average in every subject area.  </w:t>
      </w:r>
    </w:p>
    <w:p w:rsidR="007B3866" w:rsidRPr="007B3866" w:rsidRDefault="007B3866" w:rsidP="007B3866">
      <w:pPr>
        <w:pStyle w:val="NormalWeb"/>
        <w:rPr>
          <w:rFonts w:asciiTheme="minorHAnsi" w:hAnsiTheme="minorHAnsi" w:cs="Lucida Sans Unicode"/>
          <w:lang w:val="en"/>
        </w:rPr>
      </w:pPr>
      <w:r w:rsidRPr="007B3866">
        <w:rPr>
          <w:rFonts w:asciiTheme="minorHAnsi" w:hAnsiTheme="minorHAnsi" w:cs="Lucida Sans Unicode"/>
          <w:lang w:val="en"/>
        </w:rPr>
        <w:t> </w:t>
      </w:r>
      <w:bookmarkStart w:id="0" w:name="_GoBack"/>
      <w:bookmarkEnd w:id="0"/>
    </w:p>
    <w:p w:rsidR="007B3866" w:rsidRPr="007B3866" w:rsidRDefault="007B3866" w:rsidP="007B3866">
      <w:pPr>
        <w:pStyle w:val="NormalWeb"/>
        <w:rPr>
          <w:rFonts w:asciiTheme="minorHAnsi" w:hAnsiTheme="minorHAnsi" w:cs="Lucida Sans Unicode"/>
          <w:lang w:val="en"/>
        </w:rPr>
      </w:pPr>
      <w:r w:rsidRPr="007B3866">
        <w:rPr>
          <w:rFonts w:asciiTheme="minorHAnsi" w:hAnsiTheme="minorHAnsi" w:cs="Lucida Sans Unicode"/>
          <w:lang w:val="en"/>
        </w:rPr>
        <w:t xml:space="preserve">The system of national curriculum </w:t>
      </w:r>
      <w:r w:rsidR="00D07092">
        <w:rPr>
          <w:rFonts w:asciiTheme="minorHAnsi" w:hAnsiTheme="minorHAnsi" w:cs="Lucida Sans Unicode"/>
          <w:lang w:val="en"/>
        </w:rPr>
        <w:t xml:space="preserve">assessment </w:t>
      </w:r>
      <w:r w:rsidRPr="007B3866">
        <w:rPr>
          <w:rFonts w:asciiTheme="minorHAnsi" w:hAnsiTheme="minorHAnsi" w:cs="Lucida Sans Unicode"/>
          <w:lang w:val="en"/>
        </w:rPr>
        <w:t>measures are as follows:</w:t>
      </w:r>
    </w:p>
    <w:p w:rsidR="007B3866" w:rsidRPr="007B3866" w:rsidRDefault="007B3866" w:rsidP="007B3866">
      <w:pPr>
        <w:pStyle w:val="NormalWeb"/>
        <w:rPr>
          <w:rFonts w:asciiTheme="minorHAnsi" w:hAnsiTheme="minorHAnsi" w:cs="Lucida Sans Unicode"/>
          <w:sz w:val="21"/>
          <w:szCs w:val="21"/>
          <w:lang w:val="en"/>
        </w:rPr>
      </w:pPr>
      <w:r w:rsidRPr="007B3866">
        <w:rPr>
          <w:rFonts w:asciiTheme="minorHAnsi" w:hAnsiTheme="minorHAnsi" w:cs="Lucida Sans Unicode"/>
          <w:sz w:val="21"/>
          <w:szCs w:val="21"/>
          <w:lang w:val="en"/>
        </w:rPr>
        <w:t> </w:t>
      </w:r>
    </w:p>
    <w:p w:rsidR="007B3866" w:rsidRPr="007B3866" w:rsidRDefault="007B3866" w:rsidP="007B3866">
      <w:pPr>
        <w:pStyle w:val="NormalWeb"/>
        <w:rPr>
          <w:rFonts w:asciiTheme="minorHAnsi" w:hAnsiTheme="minorHAnsi" w:cs="Lucida Sans Unicode"/>
          <w:sz w:val="21"/>
          <w:szCs w:val="21"/>
          <w:lang w:val="en"/>
        </w:rPr>
      </w:pPr>
      <w:r w:rsidRPr="007B3866">
        <w:rPr>
          <w:rStyle w:val="Strong"/>
          <w:rFonts w:asciiTheme="minorHAnsi" w:hAnsiTheme="minorHAnsi" w:cs="Lucida Sans Unicode"/>
          <w:sz w:val="27"/>
          <w:szCs w:val="27"/>
          <w:lang w:val="en"/>
        </w:rPr>
        <w:t>Expected Standard</w:t>
      </w:r>
      <w:r w:rsidRPr="007B3866">
        <w:rPr>
          <w:rFonts w:asciiTheme="minorHAnsi" w:hAnsiTheme="minorHAnsi" w:cs="Lucida Sans Unicode"/>
          <w:sz w:val="21"/>
          <w:szCs w:val="21"/>
          <w:lang w:val="en"/>
        </w:rPr>
        <w:t xml:space="preserve"> – Working at the expected standard for a child at the end of Year 2</w:t>
      </w:r>
    </w:p>
    <w:p w:rsidR="007B3866" w:rsidRDefault="007B3866" w:rsidP="007B3866">
      <w:pPr>
        <w:pStyle w:val="NormalWeb"/>
        <w:rPr>
          <w:rFonts w:asciiTheme="minorHAnsi" w:hAnsiTheme="minorHAnsi" w:cs="Lucida Sans Unicode"/>
          <w:sz w:val="21"/>
          <w:szCs w:val="21"/>
          <w:lang w:val="en"/>
        </w:rPr>
      </w:pPr>
      <w:r w:rsidRPr="007B3866">
        <w:rPr>
          <w:rStyle w:val="Strong"/>
          <w:rFonts w:asciiTheme="minorHAnsi" w:hAnsiTheme="minorHAnsi" w:cs="Lucida Sans Unicode"/>
          <w:sz w:val="27"/>
          <w:szCs w:val="27"/>
          <w:lang w:val="en"/>
        </w:rPr>
        <w:t>Greater Depth</w:t>
      </w:r>
      <w:r w:rsidRPr="007B3866">
        <w:rPr>
          <w:rFonts w:asciiTheme="minorHAnsi" w:hAnsiTheme="minorHAnsi" w:cs="Lucida Sans Unicode"/>
          <w:sz w:val="21"/>
          <w:szCs w:val="21"/>
          <w:lang w:val="en"/>
        </w:rPr>
        <w:t xml:space="preserve"> – Working at greater depth within the expected standard, with a strong understanding of the curriculum</w:t>
      </w:r>
    </w:p>
    <w:p w:rsidR="007B3866" w:rsidRPr="007B3866" w:rsidRDefault="007B3866" w:rsidP="007B3866">
      <w:pPr>
        <w:pStyle w:val="NormalWeb"/>
        <w:rPr>
          <w:rFonts w:asciiTheme="minorHAnsi" w:hAnsiTheme="minorHAnsi" w:cs="Lucida Sans Unicode"/>
          <w:sz w:val="21"/>
          <w:szCs w:val="21"/>
          <w:lang w:val="en"/>
        </w:rPr>
      </w:pPr>
    </w:p>
    <w:p w:rsidR="00C319A4" w:rsidRDefault="00C319A4" w:rsidP="009857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8575D" w:rsidRPr="00CB23C9" w:rsidRDefault="008C02EF" w:rsidP="00985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8"/>
          <w:szCs w:val="28"/>
        </w:rPr>
        <w:t>68</w:t>
      </w:r>
      <w:r w:rsidR="0098575D" w:rsidRPr="00CB23C9">
        <w:rPr>
          <w:rFonts w:ascii="Calibri,Bold" w:hAnsi="Calibri,Bold" w:cs="Calibri,Bold"/>
          <w:b/>
          <w:bCs/>
          <w:sz w:val="28"/>
          <w:szCs w:val="28"/>
        </w:rPr>
        <w:t xml:space="preserve">% </w:t>
      </w:r>
      <w:r w:rsidR="0098575D" w:rsidRPr="00CB23C9">
        <w:rPr>
          <w:rFonts w:ascii="Calibri" w:hAnsi="Calibri" w:cs="Calibri"/>
          <w:sz w:val="28"/>
          <w:szCs w:val="28"/>
        </w:rPr>
        <w:t xml:space="preserve">of </w:t>
      </w:r>
      <w:r>
        <w:rPr>
          <w:rFonts w:ascii="Calibri,Bold" w:hAnsi="Calibri,Bold" w:cs="Calibri,Bold"/>
          <w:b/>
          <w:bCs/>
          <w:sz w:val="28"/>
          <w:szCs w:val="28"/>
        </w:rPr>
        <w:t>St Martin’s</w:t>
      </w:r>
      <w:r w:rsidR="0098575D" w:rsidRPr="00CB23C9">
        <w:rPr>
          <w:rFonts w:ascii="Calibri,Bold" w:hAnsi="Calibri,Bold" w:cs="Calibri,Bold"/>
          <w:b/>
          <w:bCs/>
          <w:sz w:val="28"/>
          <w:szCs w:val="28"/>
        </w:rPr>
        <w:t xml:space="preserve"> pupils</w:t>
      </w:r>
      <w:r w:rsidR="0098575D" w:rsidRPr="00CB23C9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="0098575D" w:rsidRPr="00CB23C9">
        <w:rPr>
          <w:rFonts w:ascii="Calibri" w:hAnsi="Calibri" w:cs="Calibri"/>
          <w:sz w:val="24"/>
          <w:szCs w:val="24"/>
        </w:rPr>
        <w:t>reached the new expected standard in reading, writing and mathematics</w:t>
      </w:r>
      <w:r w:rsidR="00CB23C9" w:rsidRPr="00CB23C9">
        <w:rPr>
          <w:rFonts w:ascii="Calibri" w:hAnsi="Calibri" w:cs="Calibri"/>
          <w:sz w:val="24"/>
          <w:szCs w:val="24"/>
        </w:rPr>
        <w:t xml:space="preserve"> with </w:t>
      </w:r>
      <w:r>
        <w:rPr>
          <w:rFonts w:ascii="Calibri" w:hAnsi="Calibri" w:cs="Calibri"/>
          <w:b/>
          <w:sz w:val="28"/>
          <w:szCs w:val="28"/>
        </w:rPr>
        <w:t>32</w:t>
      </w:r>
      <w:r w:rsidR="00CB23C9" w:rsidRPr="00CB23C9">
        <w:rPr>
          <w:rFonts w:ascii="Calibri" w:hAnsi="Calibri" w:cs="Calibri"/>
          <w:b/>
          <w:sz w:val="28"/>
          <w:szCs w:val="28"/>
        </w:rPr>
        <w:t>%</w:t>
      </w:r>
      <w:r w:rsidR="00C319A4">
        <w:rPr>
          <w:rFonts w:ascii="Calibri" w:hAnsi="Calibri" w:cs="Calibri"/>
          <w:sz w:val="24"/>
          <w:szCs w:val="24"/>
        </w:rPr>
        <w:t xml:space="preserve"> reaching Greater Depth</w:t>
      </w:r>
      <w:r w:rsidR="0098575D" w:rsidRPr="00CB23C9">
        <w:rPr>
          <w:rFonts w:ascii="Calibri" w:hAnsi="Calibri" w:cs="Calibri"/>
          <w:sz w:val="24"/>
          <w:szCs w:val="24"/>
        </w:rPr>
        <w:t>.</w:t>
      </w:r>
    </w:p>
    <w:p w:rsidR="0098575D" w:rsidRPr="00684CD6" w:rsidRDefault="0098575D" w:rsidP="0098575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98575D" w:rsidRPr="00CB23C9" w:rsidRDefault="00C319A4" w:rsidP="00985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8"/>
          <w:szCs w:val="28"/>
        </w:rPr>
        <w:t>66</w:t>
      </w:r>
      <w:r w:rsidR="0098575D" w:rsidRPr="00CB23C9">
        <w:rPr>
          <w:rFonts w:ascii="Calibri,Bold" w:hAnsi="Calibri,Bold" w:cs="Calibri,Bold"/>
          <w:b/>
          <w:bCs/>
          <w:sz w:val="28"/>
          <w:szCs w:val="28"/>
        </w:rPr>
        <w:t xml:space="preserve">% </w:t>
      </w:r>
      <w:r w:rsidR="0098575D" w:rsidRPr="00CB23C9">
        <w:rPr>
          <w:rFonts w:ascii="Calibri" w:hAnsi="Calibri" w:cs="Calibri"/>
          <w:sz w:val="28"/>
          <w:szCs w:val="28"/>
        </w:rPr>
        <w:t xml:space="preserve">of </w:t>
      </w:r>
      <w:r w:rsidR="0098575D" w:rsidRPr="00CB23C9">
        <w:rPr>
          <w:rFonts w:ascii="Calibri,Bold" w:hAnsi="Calibri,Bold" w:cs="Calibri,Bold"/>
          <w:b/>
          <w:bCs/>
          <w:sz w:val="28"/>
          <w:szCs w:val="28"/>
        </w:rPr>
        <w:t>pupils in Hampshire</w:t>
      </w:r>
      <w:r w:rsidR="0098575D" w:rsidRPr="00CB23C9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="0098575D" w:rsidRPr="00CB23C9">
        <w:rPr>
          <w:rFonts w:ascii="Calibri" w:hAnsi="Calibri" w:cs="Calibri"/>
          <w:sz w:val="24"/>
          <w:szCs w:val="24"/>
        </w:rPr>
        <w:t>reached the new expected standard in r</w:t>
      </w:r>
      <w:r w:rsidR="00CB23C9" w:rsidRPr="00CB23C9">
        <w:rPr>
          <w:rFonts w:ascii="Calibri" w:hAnsi="Calibri" w:cs="Calibri"/>
          <w:sz w:val="24"/>
          <w:szCs w:val="24"/>
        </w:rPr>
        <w:t xml:space="preserve">eading, writing and mathematics with </w:t>
      </w:r>
      <w:r>
        <w:rPr>
          <w:rFonts w:ascii="Calibri" w:hAnsi="Calibri" w:cs="Calibri"/>
          <w:b/>
          <w:sz w:val="28"/>
          <w:szCs w:val="28"/>
        </w:rPr>
        <w:t>9.4</w:t>
      </w:r>
      <w:r w:rsidR="00CB23C9" w:rsidRPr="00CB23C9">
        <w:rPr>
          <w:rFonts w:ascii="Calibri" w:hAnsi="Calibri" w:cs="Calibri"/>
          <w:b/>
          <w:sz w:val="28"/>
          <w:szCs w:val="28"/>
        </w:rPr>
        <w:t>%</w:t>
      </w:r>
      <w:r>
        <w:rPr>
          <w:rFonts w:ascii="Calibri" w:hAnsi="Calibri" w:cs="Calibri"/>
          <w:sz w:val="24"/>
          <w:szCs w:val="24"/>
        </w:rPr>
        <w:t xml:space="preserve"> reaching Greater Depth</w:t>
      </w:r>
      <w:r w:rsidR="00CB23C9" w:rsidRPr="00CB23C9">
        <w:rPr>
          <w:rFonts w:ascii="Calibri" w:hAnsi="Calibri" w:cs="Calibri"/>
          <w:sz w:val="24"/>
          <w:szCs w:val="24"/>
        </w:rPr>
        <w:t>.</w:t>
      </w:r>
    </w:p>
    <w:p w:rsidR="0098575D" w:rsidRPr="00684CD6" w:rsidRDefault="0098575D" w:rsidP="0098575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98575D" w:rsidRPr="00CB23C9" w:rsidRDefault="00C319A4" w:rsidP="00985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8"/>
          <w:szCs w:val="28"/>
        </w:rPr>
        <w:t>60%</w:t>
      </w:r>
      <w:r w:rsidR="0098575D" w:rsidRPr="00CB23C9">
        <w:rPr>
          <w:rFonts w:ascii="Calibri,Bold" w:hAnsi="Calibri,Bold" w:cs="Calibri,Bold"/>
          <w:b/>
          <w:bCs/>
          <w:sz w:val="28"/>
          <w:szCs w:val="28"/>
        </w:rPr>
        <w:t xml:space="preserve"> </w:t>
      </w:r>
      <w:r w:rsidR="0098575D" w:rsidRPr="00CB23C9">
        <w:rPr>
          <w:rFonts w:ascii="Calibri" w:hAnsi="Calibri" w:cs="Calibri"/>
          <w:sz w:val="28"/>
          <w:szCs w:val="28"/>
        </w:rPr>
        <w:t xml:space="preserve">of </w:t>
      </w:r>
      <w:r w:rsidR="0098575D" w:rsidRPr="00CB23C9">
        <w:rPr>
          <w:rFonts w:ascii="Calibri,Bold" w:hAnsi="Calibri,Bold" w:cs="Calibri,Bold"/>
          <w:b/>
          <w:bCs/>
          <w:sz w:val="28"/>
          <w:szCs w:val="28"/>
        </w:rPr>
        <w:t>pupils nationally</w:t>
      </w:r>
      <w:r w:rsidR="0098575D" w:rsidRPr="00CB23C9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="0098575D" w:rsidRPr="00CB23C9">
        <w:rPr>
          <w:rFonts w:ascii="Calibri" w:hAnsi="Calibri" w:cs="Calibri"/>
          <w:sz w:val="24"/>
          <w:szCs w:val="24"/>
        </w:rPr>
        <w:t>reached the new expected standard in reading, writing and mathematics</w:t>
      </w:r>
      <w:r w:rsidR="00CB23C9" w:rsidRPr="00CB23C9">
        <w:rPr>
          <w:rFonts w:ascii="Calibri" w:hAnsi="Calibri" w:cs="Calibri"/>
          <w:sz w:val="24"/>
          <w:szCs w:val="24"/>
        </w:rPr>
        <w:t xml:space="preserve"> with </w:t>
      </w:r>
      <w:r>
        <w:rPr>
          <w:rFonts w:ascii="Calibri" w:hAnsi="Calibri" w:cs="Calibri"/>
          <w:b/>
          <w:sz w:val="28"/>
          <w:szCs w:val="28"/>
        </w:rPr>
        <w:t>8.9</w:t>
      </w:r>
      <w:r w:rsidR="00CB23C9" w:rsidRPr="00CB23C9">
        <w:rPr>
          <w:rFonts w:ascii="Calibri" w:hAnsi="Calibri" w:cs="Calibri"/>
          <w:b/>
          <w:sz w:val="28"/>
          <w:szCs w:val="28"/>
        </w:rPr>
        <w:t>%</w:t>
      </w:r>
      <w:r>
        <w:rPr>
          <w:rFonts w:ascii="Calibri" w:hAnsi="Calibri" w:cs="Calibri"/>
          <w:sz w:val="24"/>
          <w:szCs w:val="24"/>
        </w:rPr>
        <w:t xml:space="preserve"> reaching Greater Depth</w:t>
      </w:r>
      <w:r w:rsidR="0098575D" w:rsidRPr="00CB23C9">
        <w:rPr>
          <w:rFonts w:ascii="Calibri" w:hAnsi="Calibri" w:cs="Calibri"/>
          <w:sz w:val="24"/>
          <w:szCs w:val="24"/>
        </w:rPr>
        <w:t>.</w:t>
      </w:r>
    </w:p>
    <w:p w:rsidR="0098575D" w:rsidRPr="001C5288" w:rsidRDefault="0098575D" w:rsidP="001A19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3"/>
        <w:gridCol w:w="2237"/>
        <w:gridCol w:w="2225"/>
        <w:gridCol w:w="2276"/>
        <w:gridCol w:w="2053"/>
        <w:gridCol w:w="1923"/>
        <w:gridCol w:w="2166"/>
      </w:tblGrid>
      <w:tr w:rsidR="001B403B" w:rsidTr="00684CD6">
        <w:trPr>
          <w:trHeight w:val="748"/>
        </w:trPr>
        <w:tc>
          <w:tcPr>
            <w:tcW w:w="2133" w:type="dxa"/>
          </w:tcPr>
          <w:p w:rsidR="001B403B" w:rsidRPr="00684CD6" w:rsidRDefault="00C319A4" w:rsidP="0098575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Key Stage 1</w:t>
            </w:r>
          </w:p>
          <w:p w:rsidR="001B403B" w:rsidRPr="00684CD6" w:rsidRDefault="001B403B" w:rsidP="00684CD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684CD6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Results</w:t>
            </w:r>
          </w:p>
        </w:tc>
        <w:tc>
          <w:tcPr>
            <w:tcW w:w="2237" w:type="dxa"/>
            <w:shd w:val="clear" w:color="auto" w:fill="auto"/>
          </w:tcPr>
          <w:p w:rsidR="001B403B" w:rsidRPr="00684CD6" w:rsidRDefault="001B403B" w:rsidP="0098575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684CD6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% achieving ARE+</w:t>
            </w:r>
          </w:p>
          <w:p w:rsidR="001B403B" w:rsidRPr="00684CD6" w:rsidRDefault="001B403B" w:rsidP="009857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84CD6">
              <w:rPr>
                <w:rFonts w:ascii="Calibri" w:hAnsi="Calibri" w:cs="Calibri"/>
                <w:sz w:val="20"/>
                <w:szCs w:val="20"/>
              </w:rPr>
              <w:t>(Age Related</w:t>
            </w:r>
          </w:p>
          <w:p w:rsidR="001B403B" w:rsidRPr="00684CD6" w:rsidRDefault="001B403B" w:rsidP="0098575D">
            <w:pPr>
              <w:rPr>
                <w:b/>
                <w:sz w:val="20"/>
                <w:szCs w:val="20"/>
              </w:rPr>
            </w:pPr>
            <w:r w:rsidRPr="00684CD6">
              <w:rPr>
                <w:rFonts w:ascii="Calibri" w:hAnsi="Calibri" w:cs="Calibri"/>
                <w:sz w:val="20"/>
                <w:szCs w:val="20"/>
              </w:rPr>
              <w:t>Expectation)</w:t>
            </w:r>
          </w:p>
        </w:tc>
        <w:tc>
          <w:tcPr>
            <w:tcW w:w="2225" w:type="dxa"/>
            <w:shd w:val="clear" w:color="auto" w:fill="auto"/>
          </w:tcPr>
          <w:p w:rsidR="001B403B" w:rsidRPr="00684CD6" w:rsidRDefault="001B403B" w:rsidP="00C319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4CD6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% achieving </w:t>
            </w:r>
            <w:r w:rsidR="00C319A4">
              <w:rPr>
                <w:b/>
                <w:sz w:val="20"/>
                <w:szCs w:val="20"/>
              </w:rPr>
              <w:t>Greater Depth</w:t>
            </w:r>
          </w:p>
        </w:tc>
        <w:tc>
          <w:tcPr>
            <w:tcW w:w="2276" w:type="dxa"/>
          </w:tcPr>
          <w:p w:rsidR="001B403B" w:rsidRPr="00684CD6" w:rsidRDefault="001B403B" w:rsidP="00A5550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684CD6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% Hampshire</w:t>
            </w:r>
            <w:r w:rsidR="00D07092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(2016)</w:t>
            </w:r>
          </w:p>
          <w:p w:rsidR="001B403B" w:rsidRPr="00684CD6" w:rsidRDefault="001B403B" w:rsidP="00684CD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684CD6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Average ARE+</w:t>
            </w:r>
            <w:r w:rsidR="00D07092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3" w:type="dxa"/>
          </w:tcPr>
          <w:p w:rsidR="001B403B" w:rsidRPr="00684CD6" w:rsidRDefault="001B403B" w:rsidP="00D80EE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684CD6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% Hampshire</w:t>
            </w:r>
            <w:r w:rsidR="00D07092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(2016)</w:t>
            </w:r>
          </w:p>
          <w:p w:rsidR="00684CD6" w:rsidRDefault="00C319A4" w:rsidP="00D80E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Greater Depth</w:t>
            </w:r>
          </w:p>
          <w:p w:rsidR="001B403B" w:rsidRPr="00684CD6" w:rsidRDefault="001B403B" w:rsidP="00684CD6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1B403B" w:rsidRPr="00684CD6" w:rsidRDefault="001B403B" w:rsidP="00A5550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684CD6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% National</w:t>
            </w:r>
            <w:r w:rsidR="00D07092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(2016)</w:t>
            </w:r>
          </w:p>
          <w:p w:rsidR="001B403B" w:rsidRPr="00684CD6" w:rsidRDefault="001B403B" w:rsidP="00684CD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684CD6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Average ARE+</w:t>
            </w:r>
          </w:p>
        </w:tc>
        <w:tc>
          <w:tcPr>
            <w:tcW w:w="2166" w:type="dxa"/>
          </w:tcPr>
          <w:p w:rsidR="001B403B" w:rsidRPr="00684CD6" w:rsidRDefault="001B403B" w:rsidP="00A5550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684CD6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% National</w:t>
            </w:r>
            <w:r w:rsidR="00D07092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(2016)</w:t>
            </w:r>
          </w:p>
          <w:p w:rsidR="001B403B" w:rsidRPr="00684CD6" w:rsidRDefault="00C319A4" w:rsidP="00985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Greater Depth</w:t>
            </w:r>
          </w:p>
        </w:tc>
      </w:tr>
      <w:tr w:rsidR="001B403B" w:rsidTr="006466B7">
        <w:trPr>
          <w:trHeight w:val="317"/>
        </w:trPr>
        <w:tc>
          <w:tcPr>
            <w:tcW w:w="2133" w:type="dxa"/>
          </w:tcPr>
          <w:p w:rsidR="001B403B" w:rsidRDefault="001B403B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2237" w:type="dxa"/>
            <w:shd w:val="clear" w:color="auto" w:fill="92D050"/>
          </w:tcPr>
          <w:p w:rsidR="001B403B" w:rsidRDefault="00D07092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  <w:r w:rsidR="001B403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225" w:type="dxa"/>
            <w:shd w:val="clear" w:color="auto" w:fill="92D050"/>
          </w:tcPr>
          <w:p w:rsidR="001B403B" w:rsidRDefault="00D07092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  <w:r w:rsidR="001B403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276" w:type="dxa"/>
          </w:tcPr>
          <w:p w:rsidR="001B403B" w:rsidRDefault="00C319A4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  <w:r w:rsidR="001B403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053" w:type="dxa"/>
          </w:tcPr>
          <w:p w:rsidR="001B403B" w:rsidRDefault="00C319A4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1B403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923" w:type="dxa"/>
          </w:tcPr>
          <w:p w:rsidR="001B403B" w:rsidRDefault="00C319A4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  <w:r w:rsidR="001B403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166" w:type="dxa"/>
          </w:tcPr>
          <w:p w:rsidR="001B403B" w:rsidRDefault="007B3866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1B403B">
              <w:rPr>
                <w:b/>
                <w:sz w:val="28"/>
                <w:szCs w:val="28"/>
              </w:rPr>
              <w:t>%</w:t>
            </w:r>
          </w:p>
        </w:tc>
      </w:tr>
      <w:tr w:rsidR="001B403B" w:rsidTr="006466B7">
        <w:trPr>
          <w:trHeight w:val="339"/>
        </w:trPr>
        <w:tc>
          <w:tcPr>
            <w:tcW w:w="2133" w:type="dxa"/>
          </w:tcPr>
          <w:p w:rsidR="001B403B" w:rsidRDefault="001B403B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Writing </w:t>
            </w:r>
          </w:p>
        </w:tc>
        <w:tc>
          <w:tcPr>
            <w:tcW w:w="2237" w:type="dxa"/>
            <w:shd w:val="clear" w:color="auto" w:fill="92D050"/>
          </w:tcPr>
          <w:p w:rsidR="001B403B" w:rsidRDefault="00D07092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  <w:r w:rsidR="001B403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225" w:type="dxa"/>
            <w:shd w:val="clear" w:color="auto" w:fill="92D050"/>
          </w:tcPr>
          <w:p w:rsidR="001B403B" w:rsidRDefault="00D07092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1B403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276" w:type="dxa"/>
          </w:tcPr>
          <w:p w:rsidR="001B403B" w:rsidRDefault="00C319A4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65B49">
              <w:rPr>
                <w:b/>
                <w:sz w:val="28"/>
                <w:szCs w:val="28"/>
              </w:rPr>
              <w:t>0</w:t>
            </w:r>
            <w:r w:rsidR="001B403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053" w:type="dxa"/>
          </w:tcPr>
          <w:p w:rsidR="001B403B" w:rsidRDefault="00C319A4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1B403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923" w:type="dxa"/>
          </w:tcPr>
          <w:p w:rsidR="001B403B" w:rsidRDefault="00C319A4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  <w:r w:rsidR="001B403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166" w:type="dxa"/>
          </w:tcPr>
          <w:p w:rsidR="001B403B" w:rsidRDefault="007B3866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1B403B">
              <w:rPr>
                <w:b/>
                <w:sz w:val="28"/>
                <w:szCs w:val="28"/>
              </w:rPr>
              <w:t>%</w:t>
            </w:r>
          </w:p>
        </w:tc>
      </w:tr>
      <w:tr w:rsidR="001B403B" w:rsidTr="006466B7">
        <w:trPr>
          <w:trHeight w:val="317"/>
        </w:trPr>
        <w:tc>
          <w:tcPr>
            <w:tcW w:w="2133" w:type="dxa"/>
          </w:tcPr>
          <w:p w:rsidR="001B403B" w:rsidRDefault="001B403B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237" w:type="dxa"/>
            <w:shd w:val="clear" w:color="auto" w:fill="92D050"/>
          </w:tcPr>
          <w:p w:rsidR="001B403B" w:rsidRDefault="00D07092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  <w:r w:rsidR="001B403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225" w:type="dxa"/>
            <w:shd w:val="clear" w:color="auto" w:fill="92D050"/>
          </w:tcPr>
          <w:p w:rsidR="001B403B" w:rsidRDefault="00D07092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1B403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276" w:type="dxa"/>
          </w:tcPr>
          <w:p w:rsidR="001B403B" w:rsidRDefault="00C319A4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  <w:r w:rsidR="001B403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053" w:type="dxa"/>
          </w:tcPr>
          <w:p w:rsidR="001B403B" w:rsidRDefault="00C319A4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1B403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923" w:type="dxa"/>
          </w:tcPr>
          <w:p w:rsidR="001B403B" w:rsidRDefault="007B3866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  <w:r w:rsidR="001B403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166" w:type="dxa"/>
          </w:tcPr>
          <w:p w:rsidR="001B403B" w:rsidRDefault="007B3866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1B403B">
              <w:rPr>
                <w:b/>
                <w:sz w:val="28"/>
                <w:szCs w:val="28"/>
              </w:rPr>
              <w:t>%</w:t>
            </w:r>
          </w:p>
        </w:tc>
      </w:tr>
      <w:tr w:rsidR="001B403B" w:rsidTr="006466B7">
        <w:trPr>
          <w:trHeight w:val="339"/>
        </w:trPr>
        <w:tc>
          <w:tcPr>
            <w:tcW w:w="2133" w:type="dxa"/>
          </w:tcPr>
          <w:p w:rsidR="001B403B" w:rsidRDefault="00C319A4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237" w:type="dxa"/>
            <w:shd w:val="clear" w:color="auto" w:fill="92D050"/>
          </w:tcPr>
          <w:p w:rsidR="001B403B" w:rsidRDefault="00C319A4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B403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225" w:type="dxa"/>
            <w:shd w:val="clear" w:color="auto" w:fill="92D050"/>
          </w:tcPr>
          <w:p w:rsidR="001B403B" w:rsidRDefault="00C319A4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</w:t>
            </w:r>
          </w:p>
        </w:tc>
        <w:tc>
          <w:tcPr>
            <w:tcW w:w="2276" w:type="dxa"/>
          </w:tcPr>
          <w:p w:rsidR="001B403B" w:rsidRDefault="00C319A4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  <w:r w:rsidR="001B403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053" w:type="dxa"/>
          </w:tcPr>
          <w:p w:rsidR="001B403B" w:rsidRDefault="00C319A4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</w:t>
            </w:r>
          </w:p>
        </w:tc>
        <w:tc>
          <w:tcPr>
            <w:tcW w:w="1923" w:type="dxa"/>
          </w:tcPr>
          <w:p w:rsidR="001B403B" w:rsidRDefault="007B3866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1B403B">
              <w:rPr>
                <w:b/>
                <w:sz w:val="28"/>
                <w:szCs w:val="28"/>
              </w:rPr>
              <w:t>2%</w:t>
            </w:r>
          </w:p>
        </w:tc>
        <w:tc>
          <w:tcPr>
            <w:tcW w:w="2166" w:type="dxa"/>
          </w:tcPr>
          <w:p w:rsidR="001B403B" w:rsidRDefault="007B3866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</w:t>
            </w:r>
          </w:p>
        </w:tc>
      </w:tr>
    </w:tbl>
    <w:p w:rsidR="006466B7" w:rsidRDefault="006466B7" w:rsidP="00C319A4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sectPr w:rsidR="006466B7" w:rsidSect="001C5288">
      <w:pgSz w:w="16838" w:h="11906" w:orient="landscape"/>
      <w:pgMar w:top="426" w:right="962" w:bottom="28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5D"/>
    <w:rsid w:val="001A19FF"/>
    <w:rsid w:val="001B403B"/>
    <w:rsid w:val="001C5288"/>
    <w:rsid w:val="001D6D6A"/>
    <w:rsid w:val="0046106A"/>
    <w:rsid w:val="00565B49"/>
    <w:rsid w:val="006466B7"/>
    <w:rsid w:val="00684CD6"/>
    <w:rsid w:val="00744DBC"/>
    <w:rsid w:val="007B3866"/>
    <w:rsid w:val="0080006E"/>
    <w:rsid w:val="008C02EF"/>
    <w:rsid w:val="00980948"/>
    <w:rsid w:val="0098575D"/>
    <w:rsid w:val="00A5550A"/>
    <w:rsid w:val="00C319A4"/>
    <w:rsid w:val="00CB23C9"/>
    <w:rsid w:val="00D07092"/>
    <w:rsid w:val="00D2151F"/>
    <w:rsid w:val="00D80EE2"/>
    <w:rsid w:val="00D82203"/>
    <w:rsid w:val="00E610DD"/>
    <w:rsid w:val="00F14C6F"/>
    <w:rsid w:val="00FD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15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9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B38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3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B38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15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9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B38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3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B38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Durley Primary School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Hanratty1</dc:creator>
  <cp:lastModifiedBy>Kirstie Baines</cp:lastModifiedBy>
  <cp:revision>2</cp:revision>
  <cp:lastPrinted>2016-11-29T16:00:00Z</cp:lastPrinted>
  <dcterms:created xsi:type="dcterms:W3CDTF">2017-06-28T14:54:00Z</dcterms:created>
  <dcterms:modified xsi:type="dcterms:W3CDTF">2017-06-28T14:54:00Z</dcterms:modified>
</cp:coreProperties>
</file>